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D0" w:rsidRPr="007E7B4C" w:rsidRDefault="008466BF" w:rsidP="00DA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B4C">
        <w:rPr>
          <w:rFonts w:ascii="Times New Roman" w:hAnsi="Times New Roman" w:cs="Times New Roman"/>
          <w:b/>
          <w:sz w:val="24"/>
          <w:szCs w:val="24"/>
        </w:rPr>
        <w:t>С</w:t>
      </w:r>
      <w:r w:rsidR="001B0360">
        <w:rPr>
          <w:rFonts w:ascii="Times New Roman" w:hAnsi="Times New Roman" w:cs="Times New Roman"/>
          <w:b/>
          <w:sz w:val="24"/>
          <w:szCs w:val="24"/>
        </w:rPr>
        <w:t>РАВНИТЕЛЬНАЯ ТАБЛИЦА</w:t>
      </w:r>
    </w:p>
    <w:p w:rsidR="001E23A0" w:rsidRPr="007E7B4C" w:rsidRDefault="004052AC" w:rsidP="00DA7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B4C">
        <w:rPr>
          <w:rFonts w:ascii="Times New Roman" w:hAnsi="Times New Roman" w:cs="Times New Roman"/>
          <w:b/>
          <w:sz w:val="24"/>
          <w:szCs w:val="24"/>
        </w:rPr>
        <w:t xml:space="preserve"> проекта Закона Кыргызской Республики «О внесении изменений</w:t>
      </w:r>
      <w:r w:rsidR="00314D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14DD9">
        <w:rPr>
          <w:rFonts w:ascii="Times New Roman" w:hAnsi="Times New Roman" w:cs="Times New Roman"/>
          <w:b/>
          <w:sz w:val="24"/>
          <w:szCs w:val="24"/>
        </w:rPr>
        <w:t>в  Закон</w:t>
      </w:r>
      <w:proofErr w:type="gramEnd"/>
      <w:r w:rsidRPr="007E7B4C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</w:t>
      </w:r>
      <w:r w:rsidR="00314DD9">
        <w:rPr>
          <w:rFonts w:ascii="Times New Roman" w:hAnsi="Times New Roman" w:cs="Times New Roman"/>
          <w:b/>
          <w:sz w:val="24"/>
          <w:szCs w:val="24"/>
        </w:rPr>
        <w:t>«О конкуренции»</w:t>
      </w:r>
    </w:p>
    <w:p w:rsidR="007E7B4C" w:rsidRPr="007E7B4C" w:rsidRDefault="007E7B4C" w:rsidP="00314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10" w:type="dxa"/>
        <w:tblInd w:w="-147" w:type="dxa"/>
        <w:tblLook w:val="04A0" w:firstRow="1" w:lastRow="0" w:firstColumn="1" w:lastColumn="0" w:noHBand="0" w:noVBand="1"/>
      </w:tblPr>
      <w:tblGrid>
        <w:gridCol w:w="7655"/>
        <w:gridCol w:w="7655"/>
      </w:tblGrid>
      <w:tr w:rsidR="008466BF" w:rsidRPr="007E7B4C" w:rsidTr="00DA765C">
        <w:tc>
          <w:tcPr>
            <w:tcW w:w="7655" w:type="dxa"/>
          </w:tcPr>
          <w:p w:rsidR="008466BF" w:rsidRPr="007E7B4C" w:rsidRDefault="008466BF" w:rsidP="00DA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55" w:type="dxa"/>
          </w:tcPr>
          <w:p w:rsidR="008466BF" w:rsidRDefault="008466BF" w:rsidP="00DA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Предл</w:t>
            </w:r>
            <w:r w:rsidR="009F0323"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агаемая </w:t>
            </w: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  <w:p w:rsidR="00DA765C" w:rsidRPr="007E7B4C" w:rsidRDefault="00DA765C" w:rsidP="00DA7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13A8" w:rsidRPr="007E7B4C" w:rsidTr="00DA765C">
        <w:tc>
          <w:tcPr>
            <w:tcW w:w="15310" w:type="dxa"/>
            <w:gridSpan w:val="2"/>
          </w:tcPr>
          <w:p w:rsidR="00D213A8" w:rsidRDefault="00D213A8" w:rsidP="00DA765C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213A8">
              <w:rPr>
                <w:rFonts w:ascii="Times New Roman" w:hAnsi="Times New Roman" w:cs="Times New Roman"/>
                <w:b/>
                <w:sz w:val="24"/>
              </w:rPr>
              <w:t>Закон Кыргызской Республики «О конкуренции»</w:t>
            </w:r>
          </w:p>
          <w:p w:rsidR="00DA765C" w:rsidRPr="00D213A8" w:rsidRDefault="00DA765C" w:rsidP="00DA765C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13A8" w:rsidRPr="007E7B4C" w:rsidTr="00DA765C"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Статья 2. Сфера действия Закона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Настоящий Закон действует на всей территории Кыргызской Республики и распространяется на отношения, связанные с защитой и развитием конкуренции, в которых участвуют любые физические и юридические лица, государственные органы и органы местного самоуправления.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Применение антимонопольного законодательства к хозяйствующим субъектам осуществляется одинаковым образом и в равной мере независимо от организационно-правовой формы и места регистрации таких хозяйствующих субъектов.</w:t>
            </w:r>
          </w:p>
          <w:p w:rsidR="00D213A8" w:rsidRPr="007E7B4C" w:rsidRDefault="00D213A8" w:rsidP="00DA765C">
            <w:pPr>
              <w:pStyle w:val="tkForma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Статья 2. Сфера действия Закона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Закон действует на всей территории Кыргызской Республики и распространяется на отношения, связанные с защитой и развитием конкуренции, в которых участвуют любые физические и юридические лица, </w:t>
            </w: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иностранные юридические лица</w:t>
            </w: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, государственные органы и органы местного самоуправления.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Применение антимонопольного законодательства к хозяйствующим субъектам осуществляется одинаковым образом и в равной мере независимо от организационно-правовой формы и места регистрации таких хозяйствующих субъектов.</w:t>
            </w:r>
          </w:p>
          <w:p w:rsidR="00D213A8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Положения настоящего закона применяются к достигнутым за пределами территории Кыргызской Республики соглашениям между отечественными и/или иностранными лицами, либо организациями, а также к совершаемым ими действиям, если такие соглашения или действия оказывают влияния на состояния конкуренции на территории Кыргызской Республики.</w:t>
            </w:r>
          </w:p>
          <w:p w:rsidR="00DA765C" w:rsidRPr="007E7B4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D213A8" w:rsidRPr="007E7B4C" w:rsidTr="00DA765C"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Основные понятия, используемые в настоящем Законе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В настоящем Законе используются следующие понятия: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D213A8" w:rsidRPr="00D213A8" w:rsidRDefault="00D213A8" w:rsidP="00DA765C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213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хозяйствующие субъекты</w:t>
            </w:r>
            <w:r w:rsidRPr="00D213A8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 - коммерческая организация, некоммерческая организация, осуществляющая деятельность, приносящую ей доход, индивидуальный предприниматель, чья профессиональная, приносящая доход, деятельность в соответствии с </w:t>
            </w:r>
            <w:r w:rsidRPr="00D213A8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законодательством Кыргызской Республики подлежит государственной регистрации и (или) лицензированию;</w:t>
            </w:r>
          </w:p>
          <w:p w:rsidR="00D213A8" w:rsidRPr="00314DD9" w:rsidRDefault="00D213A8" w:rsidP="0017489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Arial" w:eastAsia="Times New Roman" w:hAnsi="Arial" w:cs="Arial"/>
                <w:b/>
                <w:bCs/>
                <w:color w:val="2B2B2B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3. Основные понятия, используемые в настоящем Законе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В настоящем Законе используются следующие понятия: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D213A8" w:rsidRPr="007E7B4C" w:rsidRDefault="00D213A8" w:rsidP="00DA765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хозяйствующие субъекты - коммерческая организация, некоммерческая организация, индивидуальный предприниматель, чья профессиональная, приносящая доход деятельность осуществляется независимо </w:t>
            </w:r>
            <w:r w:rsidRPr="007E7B4C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от организационно-правовой формы и места регистрации</w:t>
            </w: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;»; 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……</w:t>
            </w:r>
          </w:p>
          <w:p w:rsidR="00DA765C" w:rsidRPr="00314DD9" w:rsidRDefault="00DA765C" w:rsidP="00314DD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8" w:rsidRPr="007E7B4C" w:rsidTr="00DA765C"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4-1. Признаки монопольно высокой цены товара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Монопольно высокой ценой товара является цена, установленная занимающим доминирующее положение хозяйствующим субъектом, в том числе установленная: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путем повышения ранее установленной цены товара, если при этом выполняются в совокупности следующие условия: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расходы, необходимые для производства и реализации товара, остались неизменными или их изменение не соответствует изменению цены товара;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состав продавцов или покупателей товара остался неизменным либо изменение состава продавцов или покупателей товара является незначительным;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остались неизменными или их изменение несоразмерно изменению цены товара;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путем поддержания или </w:t>
            </w:r>
            <w:proofErr w:type="spellStart"/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неснижения</w:t>
            </w:r>
            <w:proofErr w:type="spellEnd"/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установленной цены товара, если при этом выполняются в совокупности следующие условия: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расходы, необходимые для производства и реализации товара, существенно снизились;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состав продавцов или покупателей товара обусловливает возможность изменения цены товара в сторону уменьшения;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обеспечивают возможность изменения цены товара в сторону уменьшения.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Цена товара не признается монопольно высокой в случае </w:t>
            </w:r>
            <w:proofErr w:type="spellStart"/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непревышения</w:t>
            </w:r>
            <w:proofErr w:type="spellEnd"/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цены, которая сформировалась в условиях конкуренции на сопоставимом товарном рынке.</w:t>
            </w:r>
          </w:p>
        </w:tc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4-1. Признаки монопольно высокой цены товара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Монопольно высокой ценой товара является цена, установленная занимающим доминирующее положение хозяйствующим субъектом, в том числе установленная: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путем повышения ранее установленной цены товара, если при этом выполняются в совокупности следующие условия: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расходы, необходимые для производства и реализации товара, остались неизменными или их изменение не соответствует изменению цены товара;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состав продавцов или покупателей товара остался неизменным либо изменение состава продавцов или покупателей товара является незначительным;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остались неизменными или их изменение несоразмерно изменению цены товара;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путем поддержания или </w:t>
            </w:r>
            <w:proofErr w:type="spellStart"/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неснижения</w:t>
            </w:r>
            <w:proofErr w:type="spellEnd"/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установленной цены товара, если при этом выполняются в совокупности следующие условия: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расходы, необходимые для производства и реализации товара, существенно снизились;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состав продавцов или покупателей товара обусловливает возможность изменения цены товара в сторону уменьшения;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условия обращения товара на товарном рынке, в том числе обусловленные мерами государственного регулирования, включая налогообложение, таможенно-тарифное, тарифное и нетарифное регулирование, обеспечивают возможность изменения цены товара в сторону уменьшения.</w:t>
            </w:r>
          </w:p>
          <w:p w:rsidR="00DA765C" w:rsidRDefault="00D213A8" w:rsidP="0017489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Цена товара не признается монопольно высокой в случае не превышения цены, которая сформировалась в условиях конкуренции</w:t>
            </w:r>
            <w:r w:rsidR="00174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сопоставимом товарном рынке.</w:t>
            </w:r>
          </w:p>
          <w:p w:rsidR="00174891" w:rsidRPr="00174891" w:rsidRDefault="00174891" w:rsidP="0017489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случае, если невозможно определить цену, сложившуюся в условиях конкуренции на сопоставимом товарном рынке, в том числе за пределами Кыргызской Республики, проводится анализ расходов и прибыли хозяйствующего субъекта и определяется обоснованная цена товара.</w:t>
            </w:r>
          </w:p>
          <w:p w:rsidR="00174891" w:rsidRPr="007E7B4C" w:rsidRDefault="00174891" w:rsidP="00174891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13A8" w:rsidRPr="007E7B4C" w:rsidTr="00DA765C">
        <w:tc>
          <w:tcPr>
            <w:tcW w:w="7655" w:type="dxa"/>
          </w:tcPr>
          <w:p w:rsidR="00D213A8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7. Соглашения хозяйствующих субъектов, ограничивающие конкуренцию</w:t>
            </w:r>
          </w:p>
          <w:p w:rsidR="00314DD9" w:rsidRPr="007E7B4C" w:rsidRDefault="00314DD9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….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A4D">
              <w:rPr>
                <w:rFonts w:ascii="Times New Roman" w:hAnsi="Times New Roman" w:cs="Times New Roman"/>
                <w:sz w:val="24"/>
                <w:szCs w:val="24"/>
              </w:rPr>
              <w:t>2-1. Запрещается координация экономической деятельности хозяйствующих субъектов, способная привести, приводящая или приведшая к последствиям, перечисленным в частях 1 и 2 настоящей статьи.</w:t>
            </w:r>
          </w:p>
          <w:p w:rsidR="00B54A4D" w:rsidRPr="007E7B4C" w:rsidRDefault="00B54A4D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….</w:t>
            </w:r>
          </w:p>
        </w:tc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7. Соглашения хозяйствующих субъектов, ограничивающие конкуренцию</w:t>
            </w:r>
          </w:p>
          <w:p w:rsidR="00314DD9" w:rsidRDefault="00314DD9" w:rsidP="00DA765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54A4D" w:rsidRPr="00B54A4D" w:rsidRDefault="00B54A4D" w:rsidP="00DA765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2-2. Запрещаются иные соглашения между хозяйствующими субъектами, за исключением соглашений, которые признаются допустимыми в соответствии с критериями допустимости, установленными статьей 7-2 настоящего Закона, в случае если установлено, что такие соглашения приводят или могут привести к ограничению конкуренции. в том числе соглашения:</w:t>
            </w:r>
          </w:p>
          <w:p w:rsidR="00B54A4D" w:rsidRPr="00B54A4D" w:rsidRDefault="00B54A4D" w:rsidP="00DA765C">
            <w:pPr>
              <w:shd w:val="clear" w:color="auto" w:fill="FFFFFF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1) устанавливающие или поддерживающие дискриминационные условия к равнозначным договорам с другими хозяйствующими субъектами рынка, в том числе устанавливающие согласованные условия приобретения и (или) реализации товаров;</w:t>
            </w:r>
          </w:p>
          <w:p w:rsidR="00B54A4D" w:rsidRPr="00B54A4D" w:rsidRDefault="00B54A4D" w:rsidP="00DA765C">
            <w:pPr>
              <w:shd w:val="clear" w:color="auto" w:fill="FFFFFF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0" w:name="dst316"/>
            <w:bookmarkEnd w:id="0"/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2) об экономически, технологически и иным образом не обоснованном установлении хозяйствующим субъектом различных цен (тарифов) на один и тот же товар;</w:t>
            </w:r>
          </w:p>
          <w:p w:rsidR="00B54A4D" w:rsidRPr="00B54A4D" w:rsidRDefault="00B54A4D" w:rsidP="00DA765C">
            <w:pPr>
              <w:shd w:val="clear" w:color="auto" w:fill="FFFFFF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1" w:name="dst317"/>
            <w:bookmarkEnd w:id="1"/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3) создающие другим хозяйствующим субъектам препятствия к доступу на товарный рынок или выходу из товарного рынка;</w:t>
            </w:r>
          </w:p>
          <w:p w:rsidR="00B54A4D" w:rsidRPr="00B54A4D" w:rsidRDefault="00B54A4D" w:rsidP="00DA765C">
            <w:pPr>
              <w:shd w:val="clear" w:color="auto" w:fill="FFFFFF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2" w:name="dst318"/>
            <w:bookmarkEnd w:id="2"/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4) об установлении условий членства (участия) в профессиональных и иных объединениях;</w:t>
            </w:r>
          </w:p>
          <w:p w:rsidR="00D213A8" w:rsidRPr="00B54A4D" w:rsidRDefault="00B54A4D" w:rsidP="00DA765C">
            <w:pPr>
              <w:pStyle w:val="ac"/>
              <w:shd w:val="clear" w:color="auto" w:fill="FFFFFF"/>
              <w:spacing w:before="0" w:beforeAutospacing="0" w:after="0" w:afterAutospacing="0"/>
              <w:rPr>
                <w:b/>
                <w:szCs w:val="20"/>
              </w:rPr>
            </w:pPr>
            <w:r w:rsidRPr="00B54A4D">
              <w:rPr>
                <w:b/>
                <w:szCs w:val="20"/>
              </w:rPr>
              <w:t xml:space="preserve">          5) о необоснованном ограничении или прекращении реализации товаров.»</w:t>
            </w:r>
          </w:p>
          <w:p w:rsidR="00B54A4D" w:rsidRPr="00B54A4D" w:rsidRDefault="00B54A4D" w:rsidP="00DA765C">
            <w:pPr>
              <w:pStyle w:val="ac"/>
              <w:shd w:val="clear" w:color="auto" w:fill="FFFFFF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….</w:t>
            </w:r>
          </w:p>
        </w:tc>
      </w:tr>
      <w:tr w:rsidR="00B54A4D" w:rsidRPr="007E7B4C" w:rsidTr="00DA765C">
        <w:tc>
          <w:tcPr>
            <w:tcW w:w="7655" w:type="dxa"/>
          </w:tcPr>
          <w:p w:rsidR="00B54A4D" w:rsidRPr="00B54A4D" w:rsidRDefault="00B54A4D" w:rsidP="00DA765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lastRenderedPageBreak/>
              <w:t>С</w:t>
            </w:r>
            <w:r w:rsidRPr="00B54A4D">
              <w:rPr>
                <w:rFonts w:ascii="Times New Roman" w:hAnsi="Times New Roman" w:cs="Times New Roman"/>
                <w:sz w:val="24"/>
              </w:rPr>
              <w:t>татья 9. Акты и действия (бездействие) государственных органов и органов местного самоуправления, направленные на недопущение, ограничение либо устранение конкуренции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1. Государственным органам и органам местного самоуправления запрещается принимать акты и (или) совершать действия, которые ограничивают самостоятельность хозяйствующих субъектов, создают дискриминирующие или благоприятные условия для деятельности отдельных хозяйствующих субъектов, если такие акты и (или) действия приводят или могут привести к недопущению, ограничению либо устранению конкуренции и (или) ущемлению интересов хозяйствующих субъектов и (или) физических лиц, в том числе:</w:t>
            </w:r>
          </w:p>
          <w:p w:rsid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1) введение запретов или ограничений на создание новых хозяйствующих субъектов в какой-либо сфере деятельности, а также установление запретов на осуществление отдельных видов деятельности, в том числе торговой и (или) закупочной или производства отдельных видов товаров, за исключением случаев, предусмотренных законами Кыргызской Республики;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……..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4. Запрещается совмещение функций государственных органов и органов местного самоуправления с функциями хозяйствующих субъектов, а также наделение хозяйствующих субъектов функциями и правами государственных органов и органов местного самоуправления, за исключением случаев, предусмотренных законами Кыргызской Республики.</w:t>
            </w:r>
          </w:p>
          <w:p w:rsidR="00B54A4D" w:rsidRPr="00B54A4D" w:rsidRDefault="00B54A4D" w:rsidP="00DA765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5. (Утратила силу в соответствии с Законом КР от 21 января 2015 года N 22)</w:t>
            </w:r>
          </w:p>
          <w:p w:rsidR="00B54A4D" w:rsidRPr="007E7B4C" w:rsidRDefault="00B54A4D" w:rsidP="00DA765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B54A4D" w:rsidRPr="00B54A4D" w:rsidRDefault="00B54A4D" w:rsidP="00DA765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t>С</w:t>
            </w:r>
            <w:r w:rsidRPr="00B54A4D">
              <w:rPr>
                <w:rFonts w:ascii="Times New Roman" w:hAnsi="Times New Roman" w:cs="Times New Roman"/>
                <w:sz w:val="24"/>
              </w:rPr>
              <w:t>татья 9. Акты и действия (бездействие) государственных органов и органов местного самоуправления, направленные на недопущение, ограничение либо устранение конкуренции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1. Государственным органам и органам местного самоуправления запрещается принимать акты и (или) совершать действия, которые ограничивают самостоятельность хозяйствующих субъектов, создают дискриминирующие или благоприятные условия для деятельности отдельных хозяйствующих субъектов, если такие акты и (или) действия приводят или могут привести к недопущению, ограничению либо устранению конкуренции и (или) ущемлению интересов хозяйствующих субъектов и (или) физических лиц, в том числе:</w:t>
            </w:r>
          </w:p>
          <w:p w:rsid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1) введение запретов или ограничений на создание новых хозяйствующих субъектов в какой-либо сфере деятельности, а также установление запретов на осуществление отдельных видов деятельности, в том числе торговой и (или) закупочной или производства отдельных видов товаров, за исключением случаев, предусмотренных законами Кыргызской Республики;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……..</w:t>
            </w:r>
          </w:p>
          <w:p w:rsidR="00B54A4D" w:rsidRPr="00B54A4D" w:rsidRDefault="00B54A4D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4. Запрещается совмещение функций государственных органов и органов местного самоуправления с функциями хозяйствующих субъектов, а также наделение хозяйствующих субъектов функциями и правами государственных органов и органов местного самоуправления, за исключением случаев, предусмотренных законами Кыргызской Республики.</w:t>
            </w:r>
          </w:p>
          <w:p w:rsidR="00B54A4D" w:rsidRPr="00B54A4D" w:rsidRDefault="00B54A4D" w:rsidP="00DA765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54A4D">
              <w:rPr>
                <w:rFonts w:ascii="Times New Roman" w:hAnsi="Times New Roman" w:cs="Times New Roman"/>
                <w:sz w:val="24"/>
              </w:rPr>
              <w:t>5. (Утратила силу в соответствии с Законом КР от 21 января 2015 года N 22)</w:t>
            </w:r>
          </w:p>
          <w:p w:rsidR="00B54A4D" w:rsidRPr="00B54A4D" w:rsidRDefault="00B54A4D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6. Государство вправе ограничивать конкуренцию в тех сферах деятельности, в которых реализация товаров (работ, услуг) на конкурентном рынке может оказать негативное влияние на состояние государственных экономических интересов, национальной безопасности, охраны общественного порядка, прав и свобод человека, путем закрепления исключительного права государства на производство и (или) продажу, покупку товара </w:t>
            </w:r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(работ, услуг) или пользование им решением Правительства Кыргызской Республики.</w:t>
            </w:r>
          </w:p>
          <w:p w:rsidR="00B54A4D" w:rsidRPr="00B54A4D" w:rsidRDefault="00B54A4D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54A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Реализация исключительного права осуществляется путем создания хозяйствующего субъекта государственной монополии. Хозяйствующим субъектом государственной монополии может быть только государственная организация или хозяйственное сообщество с государственной долей участия в уставном капитале, созданное Правительством Кыргызской Республики. Порядок регулирования хозяйствующих субъектов государственной монополии определяется Правительством Кыргызской Республики.</w:t>
            </w:r>
          </w:p>
          <w:p w:rsidR="00B54A4D" w:rsidRPr="007E7B4C" w:rsidRDefault="00B54A4D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13A8" w:rsidRPr="007E7B4C" w:rsidTr="00DA765C"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Arial" w:hAnsi="Arial" w:cs="Arial"/>
                <w:b/>
                <w:color w:val="2B2B2B"/>
                <w:sz w:val="20"/>
              </w:rPr>
              <w:lastRenderedPageBreak/>
              <w:t>С</w:t>
            </w: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татья 9-1. Государственные или муниципальные преференции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Государственные или муниципальные преференции могут быть предоставлены на основании нормативных правовых актов Правительства Кыргызской Республики и представительных органов местного самоуправления исключительно в целях: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развития образования и науки;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предоставление имущества и (или) иных объектов гражданских прав в равной мере каждому участнику товарного рынка.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3. Порядок предоставления государственных или муниципальных преференций определяется соответственно Правительством Кыргызской Республики или представительными органами местного самоуправления.</w:t>
            </w:r>
          </w:p>
        </w:tc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9-1. Государственные или муниципальные преференции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Государственные или муниципальные преференции могут быть предоставлены на основании нормативных правовых актов Правительства Кыргызской Республики и представительных органов местного самоуправления исключительно в целях: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развития образования и науки;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предоставление имущества и (или) иных объектов гражданских прав в равной мере каждому участнику товарного рынка.</w:t>
            </w:r>
          </w:p>
          <w:p w:rsidR="00EC36F3" w:rsidRDefault="00EC36F3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7B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Признать утратившим силу</w:t>
            </w:r>
          </w:p>
        </w:tc>
      </w:tr>
      <w:tr w:rsidR="00DA765C" w:rsidRPr="007E7B4C" w:rsidTr="00DA765C">
        <w:tc>
          <w:tcPr>
            <w:tcW w:w="7655" w:type="dxa"/>
          </w:tcPr>
          <w:p w:rsidR="00DA765C" w:rsidRPr="00DA765C" w:rsidRDefault="00DA765C" w:rsidP="00DA765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DA765C">
              <w:rPr>
                <w:rFonts w:ascii="Times New Roman" w:hAnsi="Times New Roman" w:cs="Times New Roman"/>
                <w:sz w:val="24"/>
              </w:rPr>
              <w:t>Статья 11. Государственный контроль за реорганизацией, ликвидацией хозяйствующих субъектов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1. В целях предотвращения возможного злоупотребления доминирующим положением хозяйствующими субъектами и ограничения конкуренции антимонопольным органом осуществляется государственный контроль в следующих случаях: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lastRenderedPageBreak/>
              <w:t>1) реорганизация (слияние, присоединение, преобразование) хозяйствующих субъектов (их объединений), если это приводит к появлению хозяйствующего субъекта, занимающего доминирующее положение;</w:t>
            </w:r>
          </w:p>
          <w:p w:rsidR="00DA765C" w:rsidRPr="00DA765C" w:rsidRDefault="00DA765C" w:rsidP="00DA765C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 xml:space="preserve">2) (утратил силу в соответствии с Законом КР от 22 июля 2019 года </w:t>
            </w:r>
            <w:r w:rsidRPr="00DA765C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DA765C">
              <w:rPr>
                <w:rFonts w:ascii="Times New Roman" w:hAnsi="Times New Roman" w:cs="Times New Roman"/>
                <w:sz w:val="24"/>
              </w:rPr>
              <w:t xml:space="preserve"> 96)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3) слияние, присоединение и ликвидация государственных и муниципальных предприятий, если это приводит к появлению хозяйствующего субъекта, занимающего доминирующее положение.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2. Хозяйствующим субъектам, принимающим решения о реорганизации, ликвидации в соответствии с частью 1 настоящей статьи, необходимо получить согласие антимонопольного органа.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Хозяйствующие субъекты при реорганизации, ликвидации в обязательном порядке предоставляют в антимонопольный орган ходатайство о даче согласия на реорганизацию, ликвидацию хозяйствующих субъектов и перечень документов в порядке, установленном Правительством Кыргызской Республики.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Антимонопольный орган не позднее 10 календарных дней со дня получения всех необходимых документов сообщает заявителю в письменной форме о своем решении.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3. Антимонопольный орган вправе отклонить ходатайство, если его удовлетворение может привести к возникновению или усилению доминирующего положения соответствующей организации, и, как следствие, - к ограничению конкуренции, либо в случае предоставления недостоверной информации в процессе согласования.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>4. В случаях реорганизации и ликвидации хозяйствующих субъектов, предусмотренных частью 1 настоящей статьи, государственная регистрация (перерегистрация) их осуществляется регистрирующим органом только с предварительного согласия антимонопольного органа.</w:t>
            </w:r>
          </w:p>
          <w:p w:rsidR="00DA765C" w:rsidRPr="00DA765C" w:rsidRDefault="00DA765C" w:rsidP="00DA76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A765C">
              <w:rPr>
                <w:rFonts w:ascii="Times New Roman" w:hAnsi="Times New Roman" w:cs="Times New Roman"/>
                <w:sz w:val="24"/>
              </w:rPr>
              <w:t xml:space="preserve">Государственная регистрация хозяйствующих субъектов и их объединений, функционирующих в нарушение настоящей статьи, </w:t>
            </w:r>
            <w:r w:rsidRPr="00DA765C">
              <w:rPr>
                <w:rFonts w:ascii="Times New Roman" w:hAnsi="Times New Roman" w:cs="Times New Roman"/>
                <w:sz w:val="24"/>
              </w:rPr>
              <w:lastRenderedPageBreak/>
              <w:t>признается недействительной в соответствии с законодательством Кыргызской Республики.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7655" w:type="dxa"/>
          </w:tcPr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11. Государственный контроль за экономической концентрацией 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1. В целях недопущения ограничения конкуренции антимонопольным органом осуществляется государственный контроль в следующих случаях: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1) слияние, присоединение, преобразование хозяйствующих субъектов (их объединений);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2) создание хозяйствующих субъектов, более пяти процентов акций (долей участия в уставном капитале) которых принадлежат государству;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3) создание хозяйствующих субъектов, участниками которых являются аффилированные с ними лица и/или группа лиц согласно статьям 3 и 5 настоящего Закона;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4) создание, слияние, присоединение и ликвидация государственных и муниципальных предприятий.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Хозяйствующим субъектам, принимающим решения о создании, слиянии, присоединении, преобразовании, ликвидации в случаях, предусмотренных частью 1 настоящей статьи, необходимо получить согласие антимонопольного органа. 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на получение согласия антимонопольного органа представляются в соответствии с порядком установленным Правительством Кыргызской Республики.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Антимонопольный орган не позднее 10 календарных дней со дня получения всех необходимых документов сообщает заявителю в письменной форме о своем решении.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3. Антимонопольный орган вправе отклонить ходатайство, если его удовлетворение может привести к возникновению или усилению доминирующего положения соответствующей организации, и, как следствие, - к ограничению конкуренции, либо в случае предоставления недостоверной информации в процессе согласования.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4. В случаях слиянии, присоединении, преобразовании и ликвидации хозяйствующих субъектов, предусмотренных частью 1 настоящей статьи, государственная регистрация (перерегистрация) их осуществляется регистрирующим органом только с предварительного согласия антимонопольного органа.</w:t>
            </w:r>
          </w:p>
          <w:p w:rsidR="00DA765C" w:rsidRPr="00DA765C" w:rsidRDefault="00DA765C" w:rsidP="00DA765C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регистрация хозяйствующих субъектов и их объединений, функционирующих в нарушение настоящей статьи, признается недействительной в соответствии с законодательством Кыргызской Республики.</w:t>
            </w:r>
          </w:p>
          <w:p w:rsidR="00DA765C" w:rsidRPr="007E7B4C" w:rsidRDefault="00DA765C" w:rsidP="00DA765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13A8" w:rsidRPr="007E7B4C" w:rsidTr="00DA765C"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18. Основания для рассмотрения дел о нарушениях антимонопольного законодательства антимонопольным органом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1. Антимонопольный орган рассматривает дела о нарушениях антимонопольного законодательства по собственной инициативе, на основании сообщений средств массовой информации и иных имеющихся в его распоряжении материалов, свидетельствующих о нарушении настоящего Закона.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2. Заявления подаются в антимонопольный орган в письменной форме, с приложением документов о фактах нарушения антимонопольного законодательства.</w:t>
            </w:r>
          </w:p>
          <w:p w:rsidR="00D213A8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8" w:rsidRDefault="00D213A8" w:rsidP="00EC3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DD9" w:rsidRDefault="00314DD9" w:rsidP="00EC3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DD9" w:rsidRDefault="00314DD9" w:rsidP="00EC3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3. Порядок рассмотрения дел о нарушениях антимонопольного законодательства и проведения расследования устанавливается Правительством Кыргызской Республики.</w:t>
            </w:r>
          </w:p>
          <w:p w:rsidR="00D213A8" w:rsidRPr="007E7B4C" w:rsidRDefault="00D213A8" w:rsidP="00DA765C">
            <w:pPr>
              <w:pStyle w:val="tkForma"/>
              <w:spacing w:after="0" w:line="240" w:lineRule="auto"/>
              <w:rPr>
                <w:rFonts w:ascii="Times New Roman" w:hAnsi="Times New Roman" w:cs="Times New Roman"/>
                <w:bCs w:val="0"/>
                <w:caps w:val="0"/>
              </w:rPr>
            </w:pPr>
          </w:p>
        </w:tc>
        <w:tc>
          <w:tcPr>
            <w:tcW w:w="7655" w:type="dxa"/>
          </w:tcPr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Статья 18. Основания для рассмотрения дел о нарушениях антимонопольного законодательства антимонопольным органом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1. Антимонопольный орган рассматривает дела о нарушениях антимонопольного законодательства по собственной инициативе, на основании сообщений средств массовой информации и иных имеющихся в его распоряжении материалов, свидетельствующих о нарушении настоящего Закона.</w:t>
            </w:r>
          </w:p>
          <w:p w:rsidR="00D213A8" w:rsidRPr="007E7B4C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 xml:space="preserve">2. Заявления подаются в антимонопольный орган в письменной форме, с приложением документов о фактах нарушения антимонопольного законодательства. </w:t>
            </w:r>
            <w:r w:rsidRPr="007E7B4C">
              <w:rPr>
                <w:rFonts w:ascii="Times New Roman" w:hAnsi="Times New Roman" w:cs="Times New Roman"/>
                <w:b/>
                <w:sz w:val="24"/>
                <w:szCs w:val="24"/>
              </w:rPr>
              <w:t>При приостановлении рассмотрения дела срок рассмотрения дела о нарушениях антимонопольного законодательства приостанавливается и продолжается с момента возобновления дела. Рассмотрение дела продолжается с момента, с которого оно было приостановлено.</w:t>
            </w:r>
          </w:p>
          <w:p w:rsidR="00D213A8" w:rsidRDefault="00D213A8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B4C">
              <w:rPr>
                <w:rFonts w:ascii="Times New Roman" w:hAnsi="Times New Roman" w:cs="Times New Roman"/>
                <w:sz w:val="24"/>
                <w:szCs w:val="24"/>
              </w:rPr>
              <w:t>3. Порядок рассмотрения дел о нарушениях антимонопольного законодательства и проведения расследования устанавливается Правительством Кыргызской Республики.</w:t>
            </w:r>
          </w:p>
          <w:p w:rsidR="00DA765C" w:rsidRPr="007E7B4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</w:tr>
      <w:tr w:rsidR="00DA765C" w:rsidRPr="007E7B4C" w:rsidTr="00DA765C">
        <w:tc>
          <w:tcPr>
            <w:tcW w:w="7655" w:type="dxa"/>
          </w:tcPr>
          <w:p w:rsidR="00DA765C" w:rsidRPr="007E7B4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b/>
                <w:sz w:val="24"/>
                <w:szCs w:val="24"/>
              </w:rPr>
              <w:t>Статья 18-2. Предупреждение о прекращении действий (бездействия), которые содержат признаки нарушения антимонопольного законодательства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1. В целях пресечения действий (бездействия), которые приводят или могут привести к недопущению, ограничению, устранению конкуренции и (или) ущемлению интересов других лиц (хозяйствующих субъектов) в сфере предпринимательской деятельности либо ущемлению интересов неопределенного круга потребителей, антимонопольный орган выдает хозяйствующему субъекту, государственному органу, органу местного самоуправления иным осуществляющим функции указанных органов органу или организации, участвующей в предоставлении государственных или муниципальных услуг, предупреждение в письменной форме о прекращении действий 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способствовавших возникновению такого нарушения, и о принятии мер по устранению последствий такого нарушения (далее - предупреждение).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dst829"/>
            <w:bookmarkEnd w:id="3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2. Предупреждение выдается лицам, указанным в </w:t>
            </w:r>
            <w:hyperlink r:id="rId8" w:anchor="dst828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части 1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 настоящей статьи, в случае выявления признаков нарушения </w:t>
            </w:r>
            <w:hyperlink r:id="rId9" w:anchor="dst100096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пунктов 3</w:t>
              </w:r>
            </w:hyperlink>
            <w:r w:rsidR="00FB7F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0" w:anchor="dst100099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anchor="dst100101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 xml:space="preserve">9, 10, 13 статьи </w:t>
              </w:r>
            </w:hyperlink>
            <w:r w:rsidR="00FB7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B7F8D">
              <w:rPr>
                <w:rFonts w:ascii="Times New Roman" w:hAnsi="Times New Roman" w:cs="Times New Roman"/>
                <w:sz w:val="24"/>
                <w:szCs w:val="24"/>
              </w:rPr>
              <w:t xml:space="preserve"> стат</w:t>
            </w:r>
            <w:r w:rsidR="00E9600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FB7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002">
              <w:rPr>
                <w:rFonts w:ascii="Times New Roman" w:hAnsi="Times New Roman" w:cs="Times New Roman"/>
                <w:sz w:val="24"/>
                <w:szCs w:val="24"/>
              </w:rPr>
              <w:t>8 и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 9  настоящего Закона. Принятие антимонопольным органом решения о рассмотрении дела о нарушении  </w:t>
            </w:r>
            <w:hyperlink r:id="rId12" w:anchor="dst100096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пунктов 3</w:t>
              </w:r>
            </w:hyperlink>
            <w:r w:rsidR="00FB7F8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3" w:anchor="dst100099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 w:anchor="dst100101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 xml:space="preserve">9, 10, 13 статьи </w:t>
              </w:r>
            </w:hyperlink>
            <w:r w:rsidR="00FB7F8D">
              <w:rPr>
                <w:rFonts w:ascii="Times New Roman" w:hAnsi="Times New Roman" w:cs="Times New Roman"/>
                <w:sz w:val="24"/>
                <w:szCs w:val="24"/>
              </w:rPr>
              <w:t>6 и стат</w:t>
            </w:r>
            <w:r w:rsidR="00E9600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FB7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002">
              <w:rPr>
                <w:rFonts w:ascii="Times New Roman" w:hAnsi="Times New Roman" w:cs="Times New Roman"/>
                <w:sz w:val="24"/>
                <w:szCs w:val="24"/>
              </w:rPr>
              <w:t xml:space="preserve">8 и </w:t>
            </w:r>
            <w:r w:rsidR="00FB7F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 без вынесения предупреждения и до завершения срока его выполнения не допускается.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dst830"/>
            <w:bookmarkEnd w:id="4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3.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в случае, если при рассмотрении такого дела установлены признаки </w:t>
            </w:r>
            <w:hyperlink r:id="rId15" w:anchor="dst100096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пунктов 3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, 4, </w:t>
            </w:r>
            <w:hyperlink r:id="rId16" w:anchor="dst100098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17" w:anchor="dst100099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anchor="dst100101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 xml:space="preserve">9, 10, 13 статьи 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FB7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anchor="dst753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стат</w:t>
              </w:r>
            </w:hyperlink>
            <w:r w:rsidR="00E9600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002">
              <w:rPr>
                <w:rFonts w:ascii="Times New Roman" w:hAnsi="Times New Roman" w:cs="Times New Roman"/>
                <w:sz w:val="24"/>
                <w:szCs w:val="24"/>
              </w:rPr>
              <w:t xml:space="preserve">8 и 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9  настоящего Закона, которые не были известны на момент рассмотрения такого дела.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dst544"/>
            <w:bookmarkEnd w:id="5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4. Предупреждение должно содержать: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dst545"/>
            <w:bookmarkEnd w:id="6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1) выводы о наличии оснований для его выдачи;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dst546"/>
            <w:bookmarkEnd w:id="7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2) нормы антимонопольного законодательства, которые нарушены действиями (бездействием) лица, которому выдается предупреждение;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dst547"/>
            <w:bookmarkEnd w:id="8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3) перечень действий, направленных на прекращение нарушения антимонопольного законодательства, устранение причин и условий, способствовавших возникновению такого нарушения, устранение последствий такого нарушения, а также разумный срок их выполнения.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dst548"/>
            <w:bookmarkEnd w:id="9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5. Предупреждение подлежит обязательному рассмотрению лицом, которому оно выдано, в </w:t>
            </w:r>
            <w:hyperlink r:id="rId20" w:anchor="dst100223" w:history="1">
              <w:r w:rsidRPr="00DA765C">
                <w:rPr>
                  <w:rFonts w:ascii="Times New Roman" w:hAnsi="Times New Roman" w:cs="Times New Roman"/>
                  <w:sz w:val="24"/>
                  <w:szCs w:val="24"/>
                </w:rPr>
                <w:t>срок</w:t>
              </w:r>
            </w:hyperlink>
            <w:r w:rsidRPr="00DA765C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указанный в предупреждении. Срок выполнения предупреждения должен составлять не менее чем десять дней. По мотивированному ходатайству лица, которому выдано предупреждение, и при наличии достаточных оснований полагать, что в </w:t>
            </w:r>
            <w:r w:rsidRPr="00DA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установленный срок предупреждение не может быть выполнено, указанный срок может быть продлен антимонопольным органом.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dst549"/>
            <w:bookmarkEnd w:id="10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6. Антимонопольный орган должен быть уведомлен о выполнении предупреждения в течение трех дней со дня окончания срока, установленного для его выполнения.</w:t>
            </w:r>
          </w:p>
          <w:p w:rsidR="00DA765C" w:rsidRPr="00DA765C" w:rsidRDefault="00DA765C" w:rsidP="00DA765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dst550"/>
            <w:bookmarkEnd w:id="11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7. При условии выполнения предупреждения дело о нарушении антимонопольного законодательства не рассматривается и лицо, выполнившее предупреждение, не подлежит ответственности за нарушение антимонопольного законодательства в связи с его устранением.</w:t>
            </w:r>
          </w:p>
          <w:p w:rsidR="00DA765C" w:rsidRPr="00DA765C" w:rsidRDefault="00DA765C" w:rsidP="008A06B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dst831"/>
            <w:bookmarkEnd w:id="12"/>
            <w:r w:rsidRPr="00DA765C">
              <w:rPr>
                <w:rFonts w:ascii="Times New Roman" w:hAnsi="Times New Roman" w:cs="Times New Roman"/>
                <w:sz w:val="24"/>
                <w:szCs w:val="24"/>
              </w:rPr>
              <w:t>8.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рассмотрении дела о нарушении антимонопольного законодательства в срок, не превышающий десяти рабочих дней со дня истечения срока, установленного для выполнения предупреждения.</w:t>
            </w:r>
            <w:bookmarkStart w:id="13" w:name="dst552"/>
            <w:bookmarkEnd w:id="13"/>
          </w:p>
        </w:tc>
      </w:tr>
    </w:tbl>
    <w:p w:rsidR="00DA765C" w:rsidRDefault="00DA765C" w:rsidP="00DA76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06B2" w:rsidRDefault="008A06B2" w:rsidP="00DA76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06B2" w:rsidRPr="007E7B4C" w:rsidRDefault="008A06B2" w:rsidP="00DA76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7B4C" w:rsidRDefault="00693B8D" w:rsidP="008A06B2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7E7B4C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="008A06B2">
        <w:rPr>
          <w:rFonts w:ascii="Times New Roman" w:hAnsi="Times New Roman" w:cs="Times New Roman"/>
          <w:b/>
          <w:sz w:val="24"/>
          <w:szCs w:val="24"/>
        </w:rPr>
        <w:tab/>
      </w:r>
      <w:r w:rsidR="008A06B2">
        <w:rPr>
          <w:rFonts w:ascii="Times New Roman" w:hAnsi="Times New Roman" w:cs="Times New Roman"/>
          <w:b/>
          <w:sz w:val="24"/>
          <w:szCs w:val="24"/>
        </w:rPr>
        <w:tab/>
      </w:r>
      <w:r w:rsidR="00314DD9">
        <w:rPr>
          <w:rFonts w:ascii="Times New Roman" w:hAnsi="Times New Roman" w:cs="Times New Roman"/>
          <w:b/>
          <w:sz w:val="24"/>
          <w:szCs w:val="24"/>
        </w:rPr>
        <w:tab/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Pr="007E7B4C">
        <w:rPr>
          <w:rFonts w:ascii="Times New Roman" w:hAnsi="Times New Roman" w:cs="Times New Roman"/>
          <w:b/>
          <w:sz w:val="24"/>
          <w:szCs w:val="24"/>
        </w:rPr>
        <w:tab/>
      </w:r>
      <w:r w:rsidR="007E7B4C" w:rsidRPr="007E7B4C">
        <w:rPr>
          <w:rFonts w:ascii="Times New Roman" w:hAnsi="Times New Roman" w:cs="Times New Roman"/>
          <w:b/>
          <w:sz w:val="24"/>
          <w:szCs w:val="24"/>
        </w:rPr>
        <w:t>С.</w:t>
      </w:r>
      <w:r w:rsidR="00FB7F8D">
        <w:rPr>
          <w:rFonts w:ascii="Times New Roman" w:hAnsi="Times New Roman" w:cs="Times New Roman"/>
          <w:b/>
          <w:sz w:val="24"/>
          <w:szCs w:val="24"/>
        </w:rPr>
        <w:t>Т.</w:t>
      </w:r>
      <w:r w:rsidR="007E7B4C" w:rsidRPr="007E7B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E7B4C" w:rsidRPr="007E7B4C">
        <w:rPr>
          <w:rFonts w:ascii="Times New Roman" w:hAnsi="Times New Roman" w:cs="Times New Roman"/>
          <w:b/>
          <w:sz w:val="24"/>
          <w:szCs w:val="24"/>
        </w:rPr>
        <w:t>Муканбетов</w:t>
      </w:r>
      <w:proofErr w:type="spellEnd"/>
    </w:p>
    <w:p w:rsidR="00CD0EA7" w:rsidRPr="00CD0EA7" w:rsidRDefault="00CD0EA7" w:rsidP="00CD0EA7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bookmarkStart w:id="14" w:name="_GoBack"/>
      <w:bookmarkEnd w:id="14"/>
      <w:r w:rsidRPr="00CD0EA7">
        <w:rPr>
          <w:rFonts w:ascii="Times New Roman" w:hAnsi="Times New Roman" w:cs="Times New Roman"/>
          <w:sz w:val="24"/>
          <w:szCs w:val="24"/>
        </w:rPr>
        <w:t xml:space="preserve">(в отсутствие министра, статс-секретарь – А.О. </w:t>
      </w:r>
      <w:proofErr w:type="spellStart"/>
      <w:r w:rsidRPr="00CD0EA7">
        <w:rPr>
          <w:rFonts w:ascii="Times New Roman" w:hAnsi="Times New Roman" w:cs="Times New Roman"/>
          <w:sz w:val="24"/>
          <w:szCs w:val="24"/>
        </w:rPr>
        <w:t>Шаршеев</w:t>
      </w:r>
      <w:proofErr w:type="spellEnd"/>
      <w:r w:rsidRPr="00CD0EA7">
        <w:rPr>
          <w:rFonts w:ascii="Times New Roman" w:hAnsi="Times New Roman" w:cs="Times New Roman"/>
          <w:sz w:val="24"/>
          <w:szCs w:val="24"/>
        </w:rPr>
        <w:t>)</w:t>
      </w:r>
    </w:p>
    <w:sectPr w:rsidR="00CD0EA7" w:rsidRPr="00CD0EA7" w:rsidSect="00DA765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38" w:h="11906" w:orient="landscape"/>
      <w:pgMar w:top="1276" w:right="138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498" w:rsidRDefault="00937498" w:rsidP="003324AF">
      <w:pPr>
        <w:spacing w:after="0" w:line="240" w:lineRule="auto"/>
      </w:pPr>
      <w:r>
        <w:separator/>
      </w:r>
    </w:p>
  </w:endnote>
  <w:endnote w:type="continuationSeparator" w:id="0">
    <w:p w:rsidR="00937498" w:rsidRDefault="00937498" w:rsidP="0033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95" w:rsidRDefault="00812B9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86218"/>
      <w:docPartObj>
        <w:docPartGallery w:val="Page Numbers (Bottom of Page)"/>
        <w:docPartUnique/>
      </w:docPartObj>
    </w:sdtPr>
    <w:sdtEndPr/>
    <w:sdtContent>
      <w:p w:rsidR="00812B95" w:rsidRDefault="00812B9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EA7">
          <w:rPr>
            <w:noProof/>
          </w:rPr>
          <w:t>8</w:t>
        </w:r>
        <w:r>
          <w:fldChar w:fldCharType="end"/>
        </w:r>
      </w:p>
    </w:sdtContent>
  </w:sdt>
  <w:p w:rsidR="00812B95" w:rsidRDefault="00812B9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95" w:rsidRDefault="00812B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498" w:rsidRDefault="00937498" w:rsidP="003324AF">
      <w:pPr>
        <w:spacing w:after="0" w:line="240" w:lineRule="auto"/>
      </w:pPr>
      <w:r>
        <w:separator/>
      </w:r>
    </w:p>
  </w:footnote>
  <w:footnote w:type="continuationSeparator" w:id="0">
    <w:p w:rsidR="00937498" w:rsidRDefault="00937498" w:rsidP="0033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95" w:rsidRDefault="00812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95" w:rsidRDefault="00812B9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B95" w:rsidRDefault="00812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057E1"/>
    <w:multiLevelType w:val="hybridMultilevel"/>
    <w:tmpl w:val="021C468A"/>
    <w:lvl w:ilvl="0" w:tplc="D66A2B86">
      <w:start w:val="1"/>
      <w:numFmt w:val="decimal"/>
      <w:lvlText w:val="%1."/>
      <w:lvlJc w:val="left"/>
      <w:pPr>
        <w:ind w:left="115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7E6D68"/>
    <w:multiLevelType w:val="hybridMultilevel"/>
    <w:tmpl w:val="E27AE596"/>
    <w:lvl w:ilvl="0" w:tplc="2EF61E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685CF9"/>
    <w:multiLevelType w:val="hybridMultilevel"/>
    <w:tmpl w:val="784A1D02"/>
    <w:lvl w:ilvl="0" w:tplc="0136EBD8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12D6EE6"/>
    <w:multiLevelType w:val="hybridMultilevel"/>
    <w:tmpl w:val="F1DE5E52"/>
    <w:lvl w:ilvl="0" w:tplc="294EEAA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2A16BC8"/>
    <w:multiLevelType w:val="hybridMultilevel"/>
    <w:tmpl w:val="C07E508A"/>
    <w:lvl w:ilvl="0" w:tplc="1A0CC27C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9BB"/>
    <w:rsid w:val="0000257A"/>
    <w:rsid w:val="00015EB5"/>
    <w:rsid w:val="00030B03"/>
    <w:rsid w:val="00035AAC"/>
    <w:rsid w:val="00047FF4"/>
    <w:rsid w:val="00062EF4"/>
    <w:rsid w:val="0007390A"/>
    <w:rsid w:val="000747F5"/>
    <w:rsid w:val="00095564"/>
    <w:rsid w:val="000A1CBD"/>
    <w:rsid w:val="000B0582"/>
    <w:rsid w:val="000C438D"/>
    <w:rsid w:val="000C680E"/>
    <w:rsid w:val="000D40AC"/>
    <w:rsid w:val="0010379A"/>
    <w:rsid w:val="0010712C"/>
    <w:rsid w:val="00113290"/>
    <w:rsid w:val="00140EA5"/>
    <w:rsid w:val="00174891"/>
    <w:rsid w:val="001946AB"/>
    <w:rsid w:val="001A3237"/>
    <w:rsid w:val="001B0360"/>
    <w:rsid w:val="001B376C"/>
    <w:rsid w:val="001D7871"/>
    <w:rsid w:val="001E23A0"/>
    <w:rsid w:val="001F1AD0"/>
    <w:rsid w:val="00212B29"/>
    <w:rsid w:val="00224178"/>
    <w:rsid w:val="002603E3"/>
    <w:rsid w:val="00260556"/>
    <w:rsid w:val="002721B4"/>
    <w:rsid w:val="00272970"/>
    <w:rsid w:val="00275644"/>
    <w:rsid w:val="002927BE"/>
    <w:rsid w:val="002C04A3"/>
    <w:rsid w:val="002C4B0F"/>
    <w:rsid w:val="002E7C9A"/>
    <w:rsid w:val="002F5B99"/>
    <w:rsid w:val="0030702D"/>
    <w:rsid w:val="00314DD9"/>
    <w:rsid w:val="00325A76"/>
    <w:rsid w:val="00332443"/>
    <w:rsid w:val="003324AF"/>
    <w:rsid w:val="00355AF2"/>
    <w:rsid w:val="00367FCA"/>
    <w:rsid w:val="00370B36"/>
    <w:rsid w:val="003A66D0"/>
    <w:rsid w:val="003B2B9D"/>
    <w:rsid w:val="003B5E9F"/>
    <w:rsid w:val="003C584F"/>
    <w:rsid w:val="004052AC"/>
    <w:rsid w:val="004069E1"/>
    <w:rsid w:val="004170D3"/>
    <w:rsid w:val="00424F37"/>
    <w:rsid w:val="00474DE8"/>
    <w:rsid w:val="00483CE4"/>
    <w:rsid w:val="00496013"/>
    <w:rsid w:val="004B7340"/>
    <w:rsid w:val="004D1E51"/>
    <w:rsid w:val="004D5D35"/>
    <w:rsid w:val="005019CF"/>
    <w:rsid w:val="00513746"/>
    <w:rsid w:val="00553653"/>
    <w:rsid w:val="00554915"/>
    <w:rsid w:val="005758F5"/>
    <w:rsid w:val="005861A3"/>
    <w:rsid w:val="005869C7"/>
    <w:rsid w:val="0059432F"/>
    <w:rsid w:val="005D01AE"/>
    <w:rsid w:val="005D0903"/>
    <w:rsid w:val="005E6539"/>
    <w:rsid w:val="005F763C"/>
    <w:rsid w:val="00602DCF"/>
    <w:rsid w:val="00605F18"/>
    <w:rsid w:val="00611D3D"/>
    <w:rsid w:val="0063229C"/>
    <w:rsid w:val="00642D28"/>
    <w:rsid w:val="00643536"/>
    <w:rsid w:val="00643CB7"/>
    <w:rsid w:val="006472C9"/>
    <w:rsid w:val="006519FD"/>
    <w:rsid w:val="0068569A"/>
    <w:rsid w:val="00691315"/>
    <w:rsid w:val="00693B8D"/>
    <w:rsid w:val="006A1536"/>
    <w:rsid w:val="006A5655"/>
    <w:rsid w:val="006B0F98"/>
    <w:rsid w:val="006C1A8E"/>
    <w:rsid w:val="006C45CF"/>
    <w:rsid w:val="006C5B0A"/>
    <w:rsid w:val="006E38DF"/>
    <w:rsid w:val="006F2166"/>
    <w:rsid w:val="00722644"/>
    <w:rsid w:val="00724E6B"/>
    <w:rsid w:val="00726682"/>
    <w:rsid w:val="00736A43"/>
    <w:rsid w:val="00791A48"/>
    <w:rsid w:val="007A5FA7"/>
    <w:rsid w:val="007B16A9"/>
    <w:rsid w:val="007B3627"/>
    <w:rsid w:val="007C5774"/>
    <w:rsid w:val="007D262A"/>
    <w:rsid w:val="007E1B20"/>
    <w:rsid w:val="007E7B4C"/>
    <w:rsid w:val="007F4FA6"/>
    <w:rsid w:val="00812B95"/>
    <w:rsid w:val="008141C4"/>
    <w:rsid w:val="00822FF2"/>
    <w:rsid w:val="00827581"/>
    <w:rsid w:val="00845748"/>
    <w:rsid w:val="008466BF"/>
    <w:rsid w:val="00870EE1"/>
    <w:rsid w:val="00874C98"/>
    <w:rsid w:val="00885037"/>
    <w:rsid w:val="008943C9"/>
    <w:rsid w:val="00895F91"/>
    <w:rsid w:val="00897664"/>
    <w:rsid w:val="008A06B2"/>
    <w:rsid w:val="008B0B79"/>
    <w:rsid w:val="008B53E1"/>
    <w:rsid w:val="008B5F21"/>
    <w:rsid w:val="008B72E6"/>
    <w:rsid w:val="008E4B37"/>
    <w:rsid w:val="00920814"/>
    <w:rsid w:val="00923869"/>
    <w:rsid w:val="00926134"/>
    <w:rsid w:val="00933675"/>
    <w:rsid w:val="00937498"/>
    <w:rsid w:val="00951072"/>
    <w:rsid w:val="00951A76"/>
    <w:rsid w:val="0095380D"/>
    <w:rsid w:val="009732ED"/>
    <w:rsid w:val="00976FCF"/>
    <w:rsid w:val="009B7FCD"/>
    <w:rsid w:val="009C6259"/>
    <w:rsid w:val="009E7BCF"/>
    <w:rsid w:val="009F0323"/>
    <w:rsid w:val="00A010B0"/>
    <w:rsid w:val="00A355DD"/>
    <w:rsid w:val="00A42A8D"/>
    <w:rsid w:val="00A63851"/>
    <w:rsid w:val="00A755F4"/>
    <w:rsid w:val="00B449BB"/>
    <w:rsid w:val="00B53843"/>
    <w:rsid w:val="00B54A4D"/>
    <w:rsid w:val="00B64F78"/>
    <w:rsid w:val="00B70521"/>
    <w:rsid w:val="00B71FA5"/>
    <w:rsid w:val="00BF168E"/>
    <w:rsid w:val="00C1054F"/>
    <w:rsid w:val="00C156C9"/>
    <w:rsid w:val="00C23F0B"/>
    <w:rsid w:val="00C56CB8"/>
    <w:rsid w:val="00C81634"/>
    <w:rsid w:val="00C81CF9"/>
    <w:rsid w:val="00CD0EA7"/>
    <w:rsid w:val="00CD1BEA"/>
    <w:rsid w:val="00D17963"/>
    <w:rsid w:val="00D213A8"/>
    <w:rsid w:val="00D5429C"/>
    <w:rsid w:val="00D63993"/>
    <w:rsid w:val="00D8673D"/>
    <w:rsid w:val="00DA765C"/>
    <w:rsid w:val="00DE19E6"/>
    <w:rsid w:val="00DE39F6"/>
    <w:rsid w:val="00DF6274"/>
    <w:rsid w:val="00E008BF"/>
    <w:rsid w:val="00E174AF"/>
    <w:rsid w:val="00E17D92"/>
    <w:rsid w:val="00E25763"/>
    <w:rsid w:val="00E26BF7"/>
    <w:rsid w:val="00E40C75"/>
    <w:rsid w:val="00E465A8"/>
    <w:rsid w:val="00E47FD6"/>
    <w:rsid w:val="00E66326"/>
    <w:rsid w:val="00E96002"/>
    <w:rsid w:val="00EB1F75"/>
    <w:rsid w:val="00EC36F3"/>
    <w:rsid w:val="00EE5AFA"/>
    <w:rsid w:val="00EF73CE"/>
    <w:rsid w:val="00F10D5F"/>
    <w:rsid w:val="00F16A68"/>
    <w:rsid w:val="00F34B2A"/>
    <w:rsid w:val="00F42302"/>
    <w:rsid w:val="00F57797"/>
    <w:rsid w:val="00FB7F8D"/>
    <w:rsid w:val="00FE14CC"/>
    <w:rsid w:val="00FF26A8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4E4ABB-5AA7-46F2-9332-403E742E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6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923869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92386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238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E23A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4B0F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2721B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D8673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D8673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B0B7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3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24AF"/>
  </w:style>
  <w:style w:type="paragraph" w:styleId="aa">
    <w:name w:val="footer"/>
    <w:basedOn w:val="a"/>
    <w:link w:val="ab"/>
    <w:uiPriority w:val="99"/>
    <w:unhideWhenUsed/>
    <w:rsid w:val="0033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24AF"/>
  </w:style>
  <w:style w:type="paragraph" w:styleId="ac">
    <w:name w:val="Normal (Web)"/>
    <w:basedOn w:val="a"/>
    <w:uiPriority w:val="99"/>
    <w:unhideWhenUsed/>
    <w:rsid w:val="00B54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878/81f9426c57fdcef989216a792de54db2c75cf662/" TargetMode="External"/><Relationship Id="rId13" Type="http://schemas.openxmlformats.org/officeDocument/2006/relationships/hyperlink" Target="http://www.consultant.ru/document/cons_doc_LAW_322878/851f7a5f6d99da11639600f4c686a2949ab23feb/" TargetMode="External"/><Relationship Id="rId18" Type="http://schemas.openxmlformats.org/officeDocument/2006/relationships/hyperlink" Target="http://www.consultant.ru/document/cons_doc_LAW_322878/851f7a5f6d99da11639600f4c686a2949ab23feb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22878/851f7a5f6d99da11639600f4c686a2949ab23feb/" TargetMode="External"/><Relationship Id="rId17" Type="http://schemas.openxmlformats.org/officeDocument/2006/relationships/hyperlink" Target="http://www.consultant.ru/document/cons_doc_LAW_322878/851f7a5f6d99da11639600f4c686a2949ab23feb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22878/851f7a5f6d99da11639600f4c686a2949ab23feb/" TargetMode="External"/><Relationship Id="rId20" Type="http://schemas.openxmlformats.org/officeDocument/2006/relationships/hyperlink" Target="http://www.consultant.ru/document/cons_doc_LAW_21855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22878/851f7a5f6d99da11639600f4c686a2949ab23feb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22878/851f7a5f6d99da11639600f4c686a2949ab23feb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consultant.ru/document/cons_doc_LAW_322878/851f7a5f6d99da11639600f4c686a2949ab23feb/" TargetMode="External"/><Relationship Id="rId19" Type="http://schemas.openxmlformats.org/officeDocument/2006/relationships/hyperlink" Target="http://www.consultant.ru/document/cons_doc_LAW_322878/bf50f80f57ae7cfdb4e8c17989214b155903c49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22878/851f7a5f6d99da11639600f4c686a2949ab23feb/" TargetMode="External"/><Relationship Id="rId14" Type="http://schemas.openxmlformats.org/officeDocument/2006/relationships/hyperlink" Target="http://www.consultant.ru/document/cons_doc_LAW_322878/851f7a5f6d99da11639600f4c686a2949ab23feb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5CA22-9C7C-433B-8C03-0F4B198E9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9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26</cp:revision>
  <cp:lastPrinted>2020-06-01T09:56:00Z</cp:lastPrinted>
  <dcterms:created xsi:type="dcterms:W3CDTF">2019-05-24T04:50:00Z</dcterms:created>
  <dcterms:modified xsi:type="dcterms:W3CDTF">2020-07-02T04:29:00Z</dcterms:modified>
</cp:coreProperties>
</file>